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495300" cy="9715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РЕПУБЛИКА СРБИЈА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ЈАВНИ ИЗВРШИТЕЉ ГОРАН МИЛОСАВИЋ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Србобран, Цара Лазара бр.9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Пословни број. ИИ 128/25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Идент. број предмета: 60-01-00128-25-0239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 xml:space="preserve">Дана </w:t>
      </w:r>
      <w:r>
        <w:rPr>
          <w:b/>
          <w:lang w:val="sr-RS"/>
        </w:rPr>
        <w:t>25.02.2025.</w:t>
      </w:r>
      <w:r>
        <w:rPr>
          <w:b/>
        </w:rPr>
        <w:t xml:space="preserve"> године</w:t>
      </w:r>
    </w:p>
    <w:p>
      <w:pPr>
        <w:pStyle w:val="Normal"/>
        <w:suppressAutoHyphens w:val="true"/>
        <w:bidi w:val="0"/>
        <w:jc w:val="left"/>
        <w:rPr/>
      </w:pPr>
      <w:r>
        <w:rPr/>
      </w:r>
    </w:p>
    <w:p>
      <w:pPr>
        <w:pStyle w:val="PStyle2"/>
        <w:bidi w:val="0"/>
        <w:spacing w:before="100" w:after="100"/>
        <w:ind w:firstLine="500" w:left="0" w:right="0"/>
        <w:jc w:val="both"/>
        <w:rPr/>
      </w:pPr>
      <w:r>
        <w:rPr/>
        <w:t xml:space="preserve">Јавни извршитељ Горан Милосавић, поступајући у извршном поступку извршног повериоцa </w:t>
      </w:r>
      <w:r>
        <w:rPr>
          <w:b/>
        </w:rPr>
        <w:t xml:space="preserve">PROCREDIT BANK AD, BEOGRAD (NOVI BEOGRAD), Београд - Нови Београд, ул. Милутина Миланковића бр. 17, МБ 17335677, ПИБ 100000215, </w:t>
      </w:r>
      <w:r>
        <w:rPr/>
        <w:t xml:space="preserve">број рачуна 908-0000000022001-32 који се води код банке Narodna Banka Srbije - Beograd, против извршног дужника, </w:t>
      </w:r>
      <w:r>
        <w:rPr>
          <w:b/>
        </w:rPr>
        <w:t>Горан Терзић, 25000 СОМБОР, ул. Браће Миладинов бр. 54 Ц, ЈМБГ 2911973810022,</w:t>
      </w:r>
      <w:r>
        <w:rPr/>
        <w:t>, доноси</w:t>
      </w:r>
    </w:p>
    <w:p>
      <w:pPr>
        <w:pStyle w:val="Heading1"/>
        <w:bidi w:val="0"/>
        <w:spacing w:before="450" w:after="250"/>
        <w:jc w:val="center"/>
        <w:rPr/>
      </w:pPr>
      <w:bookmarkStart w:id="0" w:name="_Toc1"/>
      <w:r>
        <w:rPr/>
        <w:t>ЗАКЉУЧАК</w:t>
      </w:r>
      <w:bookmarkEnd w:id="0"/>
    </w:p>
    <w:p>
      <w:pPr>
        <w:pStyle w:val="Normal"/>
        <w:bidi w:val="0"/>
        <w:spacing w:lineRule="auto" w:line="240" w:before="0" w:after="0"/>
        <w:ind w:hanging="0" w:left="0" w:right="0"/>
        <w:jc w:val="left"/>
        <w:rPr/>
      </w:pPr>
      <w:r>
        <w:rPr>
          <w:rFonts w:eastAsia="Times New Roman"/>
          <w:b/>
          <w:color w:val="00000A"/>
          <w:kern w:val="0"/>
          <w:sz w:val="24"/>
          <w:lang w:val="sr-Latn-RS" w:eastAsia="ar-SA"/>
        </w:rPr>
        <w:t xml:space="preserve">I </w:t>
      </w:r>
      <w:r>
        <w:rPr>
          <w:rFonts w:eastAsia="Times New Roman"/>
          <w:b/>
          <w:color w:val="00000A"/>
          <w:kern w:val="0"/>
          <w:sz w:val="24"/>
          <w:lang w:val="sr-RS" w:eastAsia="ar-SA"/>
        </w:rPr>
        <w:t>ДОДЕЉУЈЕ СЕ</w:t>
      </w:r>
      <w:r>
        <w:rPr>
          <w:rFonts w:eastAsia="Times New Roman"/>
          <w:color w:val="00000A"/>
          <w:kern w:val="0"/>
          <w:sz w:val="24"/>
          <w:lang w:val="sr-RS" w:eastAsia="ar-SA"/>
        </w:rPr>
        <w:t xml:space="preserve"> непокретности и то: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eastAsia="Times New Roman"/>
          <w:color w:val="00000A"/>
          <w:kern w:val="0"/>
          <w:sz w:val="24"/>
          <w:lang w:val="sr-RS" w:eastAsia="ar-SA"/>
        </w:rPr>
      </w:pPr>
      <w:r>
        <w:rPr>
          <w:rFonts w:eastAsia="Times New Roman"/>
          <w:color w:val="00000A"/>
          <w:kern w:val="0"/>
          <w:sz w:val="24"/>
          <w:lang w:val="sr-RS" w:eastAsia="ar-SA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Ливада 3. класе, потес Обзир-Павловић, површине 19а 37м2, на кат.парц.број 12683/6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lang w:val="sr-RS"/>
        </w:rPr>
        <w:t xml:space="preserve">утврђена цена непокретности износи: </w:t>
      </w:r>
      <w:r>
        <w:rPr>
          <w:b/>
          <w:bCs/>
          <w:lang w:val="sr-RS"/>
        </w:rPr>
        <w:t>531,59 еура</w:t>
      </w:r>
      <w:r>
        <w:rPr>
          <w:lang w:val="sr-RS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Њива 1. класе, потес Обзир-Павловић, површине 2ха 21а 26м2, на кат.парц.број 12887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3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5.623,63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Њива 1. класе, потес Обзир-Павловић, површине 2ха 91а 85м2, на кат.парц.број 12888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4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6.988,86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Њива 1. класе, потес Ранчево, површине 1ха 00а 32м2, на кат.парц.број 13297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6.518,96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  <w:t xml:space="preserve">Њива 1. класе, потес Ранчево, површине 8ха 30а 01м2, на кат.парц.број 15991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  <w:t xml:space="preserve"> 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33.634,49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Њива 1. класе, потес Обзир-Павловић, површине 53а 80м2, на кат.парц.број 17174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8.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661,99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numPr>
          <w:ilvl w:val="0"/>
          <w:numId w:val="0"/>
        </w:numPr>
        <w:bidi w:val="0"/>
        <w:ind w:hanging="0" w:left="775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  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Њива 1. класе, потес Обзир-Павловић, површине 1ха 01а 58м2, на кат.парц.број 17320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   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Ливада 3. класе, потес Обзир-Павловић, површине 01а 28м2, на кат.парц.број 17320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6.560,81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hanging="0" w:left="0" w:right="0"/>
        <w:rPr>
          <w:rFonts w:ascii="Times New Roman" w:hAnsi="Times New Roman" w:eastAsia="Times New Roman"/>
          <w:b/>
          <w:bCs/>
          <w:color w:val="000000"/>
          <w:kern w:val="0"/>
          <w:sz w:val="22"/>
          <w:lang w:val="sr-RS" w:eastAsia="hi-IN"/>
        </w:rPr>
      </w:pPr>
      <w:r>
        <w:rPr>
          <w:rFonts w:eastAsia="Times New Roman"/>
          <w:b/>
          <w:bCs/>
          <w:color w:val="000000"/>
          <w:kern w:val="0"/>
          <w:sz w:val="22"/>
          <w:lang w:val="sr-RS" w:eastAsia="hi-IN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  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Њива 1. класе, потес Ранчево, површине 68а 57м2, на кат.парц.број 13265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 ;</w:t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и то удео од ½ у власништву извршног дужника.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5.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645,46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firstLine="500" w:left="0" w:right="0"/>
        <w:rPr>
          <w:rFonts w:ascii="Times New Roman" w:hAnsi="Times New Roman" w:eastAsia="Times New Roman"/>
          <w:b/>
          <w:bCs/>
          <w:color w:val="000000"/>
          <w:kern w:val="0"/>
          <w:sz w:val="22"/>
          <w:lang w:val="sr-RS" w:eastAsia="hi-IN"/>
        </w:rPr>
      </w:pPr>
      <w:r>
        <w:rPr>
          <w:rFonts w:eastAsia="Times New Roman"/>
          <w:b/>
          <w:bCs/>
          <w:color w:val="000000"/>
          <w:kern w:val="0"/>
          <w:sz w:val="22"/>
          <w:lang w:val="sr-RS" w:eastAsia="hi-IN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Њива 2. класе, потес Обзир-Павловић, површине 3ха 69а 86м2, на кат.парц.број 12685/6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</w:p>
    <w:p>
      <w:pPr>
        <w:pStyle w:val="Normal"/>
        <w:bidi w:val="0"/>
        <w:ind w:hanging="0" w:left="0" w:right="0"/>
        <w:rPr>
          <w:b/>
          <w:bCs/>
          <w:lang w:val="sr-RS"/>
        </w:rPr>
      </w:pPr>
      <w:r>
        <w:rPr>
          <w:b/>
          <w:bCs/>
          <w:lang w:val="sr-RS"/>
        </w:rPr>
        <w:t>и то удео извршног дужника у уделу 11642/36986.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8.211,52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hanging="0" w:left="0" w:right="0"/>
        <w:rPr>
          <w:rFonts w:ascii="Times New Roman" w:hAnsi="Times New Roman" w:eastAsia="Times New Roman"/>
          <w:b w:val="false"/>
          <w:color w:val="000000"/>
          <w:kern w:val="0"/>
          <w:sz w:val="22"/>
          <w:lang w:val="sr-Latn-RS" w:eastAsia="hi-IN"/>
        </w:rPr>
      </w:pPr>
      <w:r>
        <w:rPr>
          <w:rFonts w:eastAsia="Times New Roman"/>
          <w:b w:val="false"/>
          <w:color w:val="000000"/>
          <w:kern w:val="0"/>
          <w:sz w:val="22"/>
          <w:lang w:val="sr-Latn-RS" w:eastAsia="hi-IN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Њива 2. класе, потес Обзир-Павловић, површине 8ха 05а 77м2, на кат.парц.број 12685/14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;</w:t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Шума 2. класе, потес Обзир-Павловић, површине 01а 70м2, на кат.парц.број 12685/14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;</w:t>
      </w:r>
    </w:p>
    <w:p>
      <w:pPr>
        <w:pStyle w:val="Normal"/>
        <w:bidi w:val="0"/>
        <w:ind w:hanging="0" w:left="0" w:right="0"/>
        <w:rPr>
          <w:b/>
          <w:bCs/>
          <w:lang w:val="sr-RS"/>
        </w:rPr>
      </w:pPr>
      <w:r>
        <w:rPr>
          <w:b/>
          <w:bCs/>
          <w:lang w:val="sr-RS"/>
        </w:rPr>
        <w:t>и то удео извршног дужника од 14462/80747.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3.284,32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eastAsia="Times New Roman"/>
          <w:color w:val="00000A"/>
          <w:kern w:val="0"/>
          <w:sz w:val="22"/>
          <w:lang w:val="sr-RS" w:eastAsia="ar-SA"/>
        </w:rPr>
      </w:pPr>
      <w:r>
        <w:rPr>
          <w:rFonts w:eastAsia="Times New Roman"/>
          <w:color w:val="00000A"/>
          <w:kern w:val="0"/>
          <w:sz w:val="22"/>
          <w:lang w:val="sr-RS" w:eastAsia="ar-SA"/>
        </w:rPr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Њива 1. класе, потес Обзир-Павловић, површине 2ха 45а 75м2, на кат.парц.број 17241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>;</w:t>
      </w:r>
    </w:p>
    <w:p>
      <w:pPr>
        <w:pStyle w:val="Normal"/>
        <w:bidi w:val="0"/>
        <w:ind w:firstLine="500" w:left="0" w:right="0"/>
        <w:rPr>
          <w:b/>
          <w:bCs/>
          <w:lang w:val="sr-RS"/>
        </w:rPr>
      </w:pPr>
      <w:r>
        <w:rPr>
          <w:b/>
          <w:bCs/>
          <w:lang w:val="sr-RS"/>
        </w:rPr>
        <w:t>и то удео у власништву извршног дужника од 9/12.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9.674,95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  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Воћњак 2. класе, потес Обзир-Павловић, површине 27а 65м2, на кат.парц.број 17242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;</w:t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RS" w:eastAsia="hi-IN"/>
        </w:rPr>
        <w:t>и то удео у власништву извршног дужника од 9/12.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br/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>утврђена цена непокретности износи: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1.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897,06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  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Пашњак 1. класе, потес Обзир-Павловић, површине 11а 97м2, на кат.парц.број 17243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КО Сомбор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;</w:t>
      </w:r>
    </w:p>
    <w:p>
      <w:pPr>
        <w:pStyle w:val="Normal"/>
        <w:bidi w:val="0"/>
        <w:ind w:firstLine="500" w:left="0" w:right="0"/>
        <w:rPr>
          <w:b/>
          <w:bCs/>
          <w:lang w:val="sr-RS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>и то удео у власништву извршног дужника од 9/12.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46,23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spacing w:lineRule="auto" w:line="240" w:before="0" w:after="0"/>
        <w:ind w:hanging="0" w:left="1654" w:right="0"/>
        <w:jc w:val="both"/>
        <w:rPr>
          <w:rFonts w:ascii="Times New Roman" w:hAnsi="Times New Roman" w:eastAsia="Times New Roman"/>
          <w:b/>
          <w:color w:val="00000A"/>
          <w:kern w:val="0"/>
          <w:sz w:val="22"/>
          <w:lang w:val="en-US" w:eastAsia="ar-SA"/>
        </w:rPr>
      </w:pPr>
      <w:r>
        <w:rPr>
          <w:rFonts w:eastAsia="Times New Roman"/>
          <w:b/>
          <w:color w:val="00000A"/>
          <w:kern w:val="0"/>
          <w:sz w:val="22"/>
          <w:lang w:val="en-US" w:eastAsia="ar-SA"/>
        </w:rPr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ab/>
        <w:t xml:space="preserve">купцу 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highlight w:val="white"/>
          <w:u w:val="none"/>
          <w:lang w:val="sr-Latn-RS" w:eastAsia="ar-SA"/>
        </w:rPr>
        <w:t>К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highlight w:val="white"/>
          <w:u w:val="none"/>
          <w:lang w:val="sr-RS" w:eastAsia="ar-SA"/>
        </w:rPr>
        <w:t>овач Сања, Сомбор, Соње Маринковић бр. 023/13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 xml:space="preserve"> , за укупан износ од</w:t>
      </w:r>
      <w:r>
        <w:rPr>
          <w:rFonts w:eastAsia="Times New Roman" w:cs="Times New Roman" w:ascii="Times New Roman" w:hAnsi="Times New Roman"/>
          <w:b/>
          <w:color w:val="00000A"/>
          <w:kern w:val="0"/>
          <w:sz w:val="22"/>
          <w:lang w:val="sr-RS"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2"/>
          <w:szCs w:val="22"/>
          <w:u w:val="none"/>
          <w:lang w:val="sr-RS" w:eastAsia="ar-SA"/>
        </w:rPr>
        <w:t xml:space="preserve">368.914,30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kern w:val="0"/>
          <w:sz w:val="22"/>
          <w:szCs w:val="22"/>
          <w:u w:val="none"/>
          <w:lang w:val="sr-RS" w:eastAsia="hi-IN"/>
        </w:rPr>
        <w:t>еура у динарској противвредности по средњем курсу НБС на дан уплате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2"/>
          <w:szCs w:val="22"/>
          <w:u w:val="none"/>
          <w:lang w:val="sr-RS" w:eastAsia="ar-SA"/>
        </w:rPr>
        <w:t>.</w:t>
      </w:r>
    </w:p>
    <w:p>
      <w:pPr>
        <w:pStyle w:val="PStyle3"/>
        <w:bidi w:val="0"/>
        <w:jc w:val="both"/>
        <w:rPr>
          <w:rFonts w:ascii="Times New Roman" w:hAnsi="Times New Roman" w:eastAsia="Times New Roman"/>
          <w:color w:val="000000"/>
          <w:kern w:val="0"/>
          <w:sz w:val="24"/>
          <w:lang w:val="sr-RS" w:eastAsia="sr-RS"/>
        </w:rPr>
      </w:pPr>
      <w:r>
        <w:rPr>
          <w:rFonts w:eastAsia="Times New Roman"/>
          <w:color w:val="000000"/>
          <w:kern w:val="0"/>
          <w:sz w:val="24"/>
          <w:lang w:val="sr-RS" w:eastAsia="sr-RS"/>
        </w:rPr>
      </w:r>
    </w:p>
    <w:p>
      <w:pPr>
        <w:pStyle w:val="PStyle3"/>
        <w:bidi w:val="0"/>
        <w:jc w:val="both"/>
        <w:rPr>
          <w:rStyle w:val="Textstyle1"/>
          <w:rFonts w:eastAsia="Times New Roman"/>
          <w:color w:val="000000"/>
          <w:kern w:val="0"/>
          <w:sz w:val="24"/>
          <w:lang w:val="sr-RS" w:eastAsia="sr-RS"/>
        </w:rPr>
      </w:pPr>
      <w:r>
        <w:rPr>
          <w:rFonts w:eastAsia="Times New Roman"/>
          <w:color w:val="000000"/>
          <w:kern w:val="0"/>
          <w:sz w:val="24"/>
          <w:lang w:val="sr-RS" w:eastAsia="sr-RS"/>
        </w:rPr>
      </w:r>
    </w:p>
    <w:p>
      <w:pPr>
        <w:pStyle w:val="PStyle3"/>
        <w:bidi w:val="0"/>
        <w:jc w:val="both"/>
        <w:rPr/>
      </w:pPr>
      <w:r>
        <w:rPr>
          <w:rStyle w:val="Textstyle1"/>
          <w:rFonts w:eastAsia="Times New Roman"/>
          <w:color w:val="000000"/>
          <w:kern w:val="0"/>
          <w:sz w:val="24"/>
          <w:lang w:val="sr-RS" w:eastAsia="sr-RS"/>
        </w:rPr>
        <w:t xml:space="preserve">    </w:t>
      </w:r>
      <w:r>
        <w:rPr>
          <w:rStyle w:val="Textstyle1"/>
          <w:rFonts w:eastAsia="Times New Roman"/>
          <w:color w:val="000000"/>
          <w:kern w:val="0"/>
          <w:sz w:val="24"/>
          <w:lang w:val="sr-Latn-RS" w:eastAsia="sr-RS"/>
        </w:rPr>
        <w:t>II</w:t>
      </w:r>
      <w:r>
        <w:rPr>
          <w:rStyle w:val="Textstyle1"/>
          <w:rFonts w:eastAsia="Times New Roman"/>
          <w:color w:val="000000"/>
          <w:kern w:val="0"/>
          <w:sz w:val="24"/>
          <w:lang w:val="sr-RS" w:eastAsia="sr-RS"/>
        </w:rPr>
        <w:t xml:space="preserve">  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Уговорне стране сагласно констатују да се износ од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Latn-RS" w:eastAsia="hi-IN"/>
        </w:rPr>
        <w:t>6.495.474,00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 xml:space="preserve"> динара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, који је купац на име јемства положио на рачун јавног извршитеља, има урачунати као делимична уплата уговорене продајне цене од </w:t>
      </w:r>
      <w:r>
        <w:rPr>
          <w:rStyle w:val="Textstyle1"/>
          <w:rFonts w:eastAsia="Calibri" w:cs="Times New Roman"/>
          <w:b w:val="false"/>
          <w:bCs w:val="false"/>
          <w:strike w:val="false"/>
          <w:dstrike w:val="false"/>
          <w:color w:val="000000"/>
          <w:kern w:val="0"/>
          <w:sz w:val="22"/>
          <w:szCs w:val="22"/>
          <w:u w:val="none"/>
          <w:lang w:val="sr-RS" w:eastAsia="hi-IN"/>
        </w:rPr>
        <w:t>39.620,152,</w:t>
      </w:r>
      <w:r>
        <w:rPr>
          <w:rStyle w:val="Textstyle1"/>
          <w:rFonts w:eastAsia="Calibri" w:cs="Times New Roman"/>
          <w:b w:val="false"/>
          <w:bCs w:val="false"/>
          <w:strike w:val="false"/>
          <w:dstrike w:val="false"/>
          <w:color w:val="000000"/>
          <w:kern w:val="0"/>
          <w:sz w:val="22"/>
          <w:szCs w:val="22"/>
          <w:u w:val="none"/>
          <w:lang w:val="sr-Latn-RS" w:eastAsia="hi-IN"/>
        </w:rPr>
        <w:t>00</w:t>
      </w:r>
      <w:r>
        <w:rPr>
          <w:rStyle w:val="Textstyle1"/>
          <w:rFonts w:eastAsia="Calibri" w:cs="Times New Roman"/>
          <w:b w:val="false"/>
          <w:bCs w:val="false"/>
          <w:strike w:val="false"/>
          <w:dstrike w:val="false"/>
          <w:color w:val="000000"/>
          <w:kern w:val="0"/>
          <w:sz w:val="22"/>
          <w:szCs w:val="22"/>
          <w:u w:val="none"/>
          <w:lang w:val="sr-RS" w:eastAsia="hi-IN"/>
        </w:rPr>
        <w:t xml:space="preserve"> динара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, а да је купац дужан да преостали износ цене од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33.124.678,00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динара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 положи на рачун јавног извршитеља Горана Милосавића број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340-13034749-69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, који се води код Ерсте банке Нови Сад, са позивом на број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И.И-128/25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>, и то у року од 15 дана од дана доношења закључка о додељивању непокретности.</w:t>
      </w:r>
    </w:p>
    <w:p>
      <w:pPr>
        <w:pStyle w:val="Normal"/>
        <w:bidi w:val="0"/>
        <w:jc w:val="both"/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</w:pPr>
      <w:r>
        <w:rPr>
          <w:rFonts w:eastAsia="Times New Roman"/>
          <w:b w:val="false"/>
          <w:color w:val="000000"/>
          <w:kern w:val="0"/>
          <w:sz w:val="24"/>
          <w:lang w:val="sr-RS" w:eastAsia="sr-RS"/>
        </w:rPr>
      </w:r>
    </w:p>
    <w:p>
      <w:pPr>
        <w:pStyle w:val="Normal"/>
        <w:bidi w:val="0"/>
        <w:jc w:val="both"/>
        <w:rPr/>
      </w:pP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 xml:space="preserve">   </w:t>
      </w:r>
      <w:r>
        <w:rPr>
          <w:rStyle w:val="Textstyle1"/>
          <w:rFonts w:eastAsia="Times New Roman"/>
          <w:b w:val="false"/>
          <w:bCs w:val="false"/>
          <w:color w:val="000000"/>
          <w:kern w:val="0"/>
          <w:sz w:val="24"/>
          <w:lang w:val="sr-RS" w:eastAsia="sr-RS"/>
        </w:rPr>
        <w:t xml:space="preserve"> </w:t>
      </w:r>
      <w:r>
        <w:rPr>
          <w:rStyle w:val="Textstyle1"/>
          <w:rFonts w:eastAsia="Times New Roman"/>
          <w:b/>
          <w:bCs/>
          <w:color w:val="000000"/>
          <w:kern w:val="0"/>
          <w:sz w:val="24"/>
          <w:lang w:val="sr-Latn-RS" w:eastAsia="sr-RS"/>
        </w:rPr>
        <w:t>III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Latn-RS" w:eastAsia="sr-RS"/>
        </w:rPr>
        <w:t xml:space="preserve">  </w:t>
      </w:r>
      <w:r>
        <w:rPr>
          <w:rStyle w:val="Textstyle1"/>
          <w:rFonts w:eastAsia="Times New Roman"/>
          <w:b/>
          <w:bCs/>
          <w:color w:val="000000"/>
          <w:kern w:val="0"/>
          <w:sz w:val="24"/>
          <w:lang w:val="sr-RS" w:eastAsia="sr-RS"/>
        </w:rPr>
        <w:t>ПОЗИВАЈУ СЕ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 xml:space="preserve"> имаоци права прече куповине да у року од 8 дана од дана објављивања овог закључка на сајту коморе се писмено изјасни да ли ће се користити својим правом под условима наведеним у овом закључку.</w:t>
      </w:r>
    </w:p>
    <w:p>
      <w:pPr>
        <w:pStyle w:val="PStyle3"/>
        <w:bidi w:val="0"/>
        <w:jc w:val="both"/>
        <w:rPr>
          <w:rFonts w:ascii="Times New Roman" w:hAnsi="Times New Roman" w:eastAsia="Times New Roman"/>
          <w:b/>
          <w:color w:val="00000A"/>
          <w:kern w:val="0"/>
          <w:sz w:val="22"/>
          <w:lang w:val="sr-RS" w:eastAsia="sr-Latn-RS"/>
        </w:rPr>
      </w:pP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 xml:space="preserve"> </w:t>
      </w: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ab/>
      </w:r>
    </w:p>
    <w:p>
      <w:pPr>
        <w:pStyle w:val="PStyle3"/>
        <w:bidi w:val="0"/>
        <w:rPr/>
      </w:pP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>Образложење</w:t>
      </w:r>
    </w:p>
    <w:p>
      <w:pPr>
        <w:pStyle w:val="PStyle3"/>
        <w:bidi w:val="0"/>
        <w:jc w:val="both"/>
        <w:rPr>
          <w:rFonts w:ascii="Times New Roman" w:hAnsi="Times New Roman" w:eastAsia="Times New Roman"/>
          <w:b/>
          <w:color w:val="00000A"/>
          <w:kern w:val="0"/>
          <w:sz w:val="22"/>
          <w:lang w:val="sr-RS" w:eastAsia="sr-Latn-RS"/>
        </w:rPr>
      </w:pPr>
      <w:r>
        <w:rPr>
          <w:rFonts w:eastAsia="Times New Roman"/>
          <w:b/>
          <w:color w:val="00000A"/>
          <w:kern w:val="0"/>
          <w:sz w:val="22"/>
          <w:lang w:val="sr-RS" w:eastAsia="sr-Latn-RS"/>
        </w:rPr>
      </w:r>
    </w:p>
    <w:p>
      <w:pPr>
        <w:pStyle w:val="Normal"/>
        <w:bidi w:val="0"/>
        <w:jc w:val="both"/>
        <w:rPr/>
      </w:pPr>
      <w:r>
        <w:rPr>
          <w:rFonts w:eastAsia="Times New Roman"/>
          <w:b w:val="false"/>
          <w:color w:val="00000A"/>
          <w:kern w:val="0"/>
          <w:sz w:val="22"/>
          <w:lang w:val="sr-RS" w:eastAsia="sr-Latn-RS"/>
        </w:rPr>
        <w:tab/>
        <w:t>Одлука садржине као у изреци донета је применом чл. 170, 181. и 187. Закон о извршењу и обезбеђењу ("Службени гласник РС", бр. 106/2015 и 106/16-аутентично тумачење ).</w:t>
      </w:r>
    </w:p>
    <w:p>
      <w:pPr>
        <w:pStyle w:val="Normal"/>
        <w:suppressAutoHyphens w:val="true"/>
        <w:bidi w:val="0"/>
        <w:jc w:val="left"/>
        <w:rPr/>
      </w:pPr>
      <w:r>
        <w:rPr/>
      </w:r>
    </w:p>
    <w:tbl>
      <w:tblPr>
        <w:tblW w:w="110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9"/>
        <w:gridCol w:w="2001"/>
        <w:gridCol w:w="4000"/>
      </w:tblGrid>
      <w:tr>
        <w:trPr>
          <w:trHeight w:val="14" w:hRule="atLeast"/>
        </w:trPr>
        <w:tc>
          <w:tcPr>
            <w:tcW w:w="4999" w:type="dxa"/>
            <w:tcBorders/>
          </w:tcPr>
          <w:p>
            <w:pPr>
              <w:pStyle w:val="PStyle"/>
              <w:bidi w:val="0"/>
              <w:spacing w:before="0" w:after="0"/>
              <w:jc w:val="both"/>
              <w:rPr/>
            </w:pPr>
            <w:r>
              <w:rPr>
                <w:b/>
              </w:rPr>
              <w:t>ПОУКА О ПРАВНОМ ЛЕКУ:</w:t>
            </w:r>
          </w:p>
          <w:p>
            <w:pPr>
              <w:pStyle w:val="PStyle"/>
              <w:bidi w:val="0"/>
              <w:spacing w:before="0" w:after="0"/>
              <w:jc w:val="both"/>
              <w:rPr/>
            </w:pPr>
            <w:r>
              <w:rPr/>
              <w:t>Против овог закључка није дозвољен правни лек.</w:t>
            </w:r>
          </w:p>
        </w:tc>
        <w:tc>
          <w:tcPr>
            <w:tcW w:w="2001" w:type="dxa"/>
            <w:tcBorders/>
          </w:tcPr>
          <w:p>
            <w:pPr>
              <w:pStyle w:val="Normal"/>
              <w:suppressAutoHyphens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4000" w:type="dxa"/>
            <w:tcBorders/>
            <w:vAlign w:val="bottom"/>
          </w:tcPr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>
                <w:b/>
              </w:rPr>
              <w:t>ЈАВНИ ИЗВРШИТЕЉ</w:t>
            </w:r>
          </w:p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>
                <w:sz w:val="48"/>
                <w:szCs w:val="48"/>
              </w:rPr>
              <w:t>___________</w:t>
            </w:r>
          </w:p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/>
              <w:t>Горан Милосавић</w:t>
            </w:r>
          </w:p>
        </w:tc>
      </w:tr>
    </w:tbl>
    <w:p>
      <w:pPr>
        <w:pStyle w:val="PStyle"/>
        <w:bidi w:val="0"/>
        <w:spacing w:before="0" w:after="0"/>
        <w:jc w:val="both"/>
        <w:rPr/>
      </w:pPr>
      <w:r>
        <w:rPr/>
      </w:r>
    </w:p>
    <w:sectPr>
      <w:type w:val="nextPage"/>
      <w:pgSz w:w="11906" w:h="16838"/>
      <w:pgMar w:left="1000" w:right="1000" w:gutter="0" w:header="0" w:top="800" w:footer="0" w:bottom="10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"/>
    <w:qFormat/>
    <w:pPr>
      <w:spacing w:before="450" w:after="250"/>
      <w:jc w:val="center"/>
    </w:pPr>
    <w:rPr>
      <w:b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style1">
    <w:name w:val="textstyle1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Style" w:customStyle="1">
    <w:name w:val="pStyle"/>
    <w:basedOn w:val="Normal"/>
    <w:qFormat/>
    <w:pPr>
      <w:spacing w:before="0" w:after="0"/>
      <w:jc w:val="both"/>
    </w:pPr>
    <w:rPr/>
  </w:style>
  <w:style w:type="paragraph" w:styleId="PStyle2" w:customStyle="1">
    <w:name w:val="pStyle2"/>
    <w:basedOn w:val="Normal"/>
    <w:qFormat/>
    <w:pPr>
      <w:spacing w:before="100" w:after="100"/>
      <w:ind w:firstLine="500" w:left="0" w:right="0"/>
      <w:jc w:val="both"/>
    </w:pPr>
    <w:rPr/>
  </w:style>
  <w:style w:type="paragraph" w:styleId="PStyle22" w:customStyle="1">
    <w:name w:val="pStyle22"/>
    <w:basedOn w:val="Normal"/>
    <w:qFormat/>
    <w:pPr>
      <w:spacing w:before="0" w:after="0"/>
      <w:ind w:firstLine="500" w:left="0" w:right="0"/>
      <w:jc w:val="both"/>
    </w:pPr>
    <w:rPr/>
  </w:style>
  <w:style w:type="paragraph" w:styleId="PStyle3" w:customStyle="1">
    <w:name w:val="pStyle3"/>
    <w:basedOn w:val="Normal"/>
    <w:qFormat/>
    <w:pPr>
      <w:spacing w:before="0" w:after="0"/>
      <w:jc w:val="center"/>
    </w:pPr>
    <w:rPr/>
  </w:style>
  <w:style w:type="paragraph" w:styleId="Nabrajanje" w:customStyle="1">
    <w:name w:val="nabrajanje"/>
    <w:basedOn w:val="Normal"/>
    <w:qFormat/>
    <w:pPr>
      <w:spacing w:before="0" w:after="0"/>
      <w:ind w:left="800" w:right="0"/>
      <w:jc w:val="both"/>
    </w:pPr>
    <w:rPr/>
  </w:style>
  <w:style w:type="paragraph" w:styleId="Nabrajanje2" w:customStyle="1">
    <w:name w:val="nabrajanje2"/>
    <w:basedOn w:val="Normal"/>
    <w:qFormat/>
    <w:pPr>
      <w:spacing w:before="0" w:after="0"/>
      <w:ind w:left="1000" w:right="0"/>
      <w:jc w:val="both"/>
    </w:pPr>
    <w:rPr/>
  </w:style>
  <w:style w:type="paragraph" w:styleId="Zaglavlje" w:customStyle="1">
    <w:name w:val="zaglavlje"/>
    <w:basedOn w:val="Normal"/>
    <w:qFormat/>
    <w:pPr>
      <w:spacing w:before="0" w:after="0"/>
      <w:ind w:left="0" w:right="4000"/>
      <w:jc w:val="both"/>
    </w:pPr>
    <w:rPr/>
  </w:style>
  <w:style w:type="paragraph" w:styleId="ListParagraph">
    <w:name w:val="List Paragraph"/>
    <w:basedOn w:val="Normal"/>
    <w:qFormat/>
    <w:pPr>
      <w:widowControl/>
      <w:bidi w:val="0"/>
      <w:spacing w:lineRule="auto" w:line="480" w:before="0" w:after="240"/>
      <w:ind w:firstLine="360" w:left="720"/>
      <w:contextualSpacing/>
      <w:jc w:val="left"/>
    </w:pPr>
    <w:rPr>
      <w:rFonts w:ascii="Calibri" w:hAnsi="Calibri" w:eastAsia="Times New Roman"/>
      <w:color w:val="000000"/>
      <w:kern w:val="0"/>
      <w:sz w:val="22"/>
      <w:lang w:val="sr-Latn-CS" w:eastAsia="hi-IN"/>
    </w:rPr>
  </w:style>
  <w:style w:type="paragraph" w:styleId="Poravnanje">
    <w:name w:val="poravnanje"/>
    <w:qFormat/>
    <w:pPr>
      <w:widowControl w:val="false"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en-US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386</TotalTime>
  <Application>LibreOffice/7.6.1.2$Windows_X86_64 LibreOffice_project/f5defcebd022c5bc36bbb79be232cb6926d8f674</Application>
  <AppVersion>15.0000</AppVersion>
  <Pages>3</Pages>
  <Words>770</Words>
  <Characters>4257</Characters>
  <CharactersWithSpaces>5014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2025-05-30T07:42:01Z</dcterms:created>
  <dc:creator/>
  <dc:description/>
  <dc:language>en-US</dc:language>
  <cp:lastModifiedBy/>
  <cp:lastPrinted>2026-02-25T10:13:12Z</cp:lastPrinted>
  <dcterms:modified xsi:type="dcterms:W3CDTF">2026-02-26T09:04:26Z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